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52 vom 20. August 2024</w:t>
      </w:r>
    </w:p>
    <w:p>
      <w:r>
        <w:t>VS Kantonsgericht, 2024-08-20, FR</w:t>
      </w:r>
    </w:p>
    <w:p>
      <w:r>
        <w:rPr>
          <w:b/>
        </w:rPr>
        <w:t xml:space="preserve">Quelle: </w:t>
      </w:r>
      <w:r>
        <w:t>https://mcp.opencaselaw.ch/entscheid/vs_gerichte_S2 22 52</w:t>
      </w:r>
    </w:p>
    <w:p>
      <w:r>
        <w:t>FR: VS_GERICHTE S2 22 52 du 20 août 2024</w:t>
      </w:r>
    </w:p>
    <w:p>
      <w:r>
        <w:t>IT: VS_GERICHTE S2 22 52 del 20 agosto 2024</w:t>
      </w:r>
    </w:p>
    <w:p>
      <w:pPr>
        <w:pStyle w:val="Heading2"/>
      </w:pPr>
      <w:r>
        <w:t>Regeste</w:t>
      </w:r>
    </w:p>
    <w:p>
      <w:r>
        <w:t>S2 22 52 JUGEMENT DU 20 AOÛT 2024 Tribunal cantonal du Valais Cour des assurances sociales Composition : Candido Prada, président ; Frédéric Fellay et Christophe Joris, juges ; Véronique Largey, greffière en la cause X _________, recourante contre ALLIANZ SUISSE SOCIÉTÉ D'ASSURANCES SA, intimée (art. 6 al. 1 LAA, art. 43 al. 1 et art. 44 LPGA ; causalité naturelle, devoir d’instruction de l’assurance)</w:t>
      </w:r>
    </w:p>
    <w:p>
      <w:pPr>
        <w:pStyle w:val="Heading2"/>
      </w:pPr>
      <w:r>
        <w:t>Erwägungen</w:t>
      </w:r>
    </w:p>
    <w:p>
      <w:r>
        <w:rPr>
          <w:b/>
        </w:rPr>
        <w:t>E. 1</w:t>
      </w:r>
    </w:p>
    <w:p>
      <w:r>
        <w:t>LPJA). Il répond par ailleurs aux autres conditions formelles de recevabilité (art. 61 let. b LPGA), de sorte que la Cour doit entrer en matière.</w:t>
      </w:r>
    </w:p>
    <w:p>
      <w:r>
        <w:rPr>
          <w:b/>
        </w:rPr>
        <w:t>E. 2</w:t>
      </w:r>
    </w:p>
    <w:p>
      <w:r>
        <w:t>Le présent litige porte sur la question de savoir si c’est à juste titre qu’Allianz a refusé à l’assurée l’octroi de prestations d’assurance, au motif qu’il n’existait pas de rapport de causalité naturelle pour le moins vraisemblable entre l’accident du 7 septembre 2019 et la fracture de la dent 16.</w:t>
      </w:r>
    </w:p>
    <w:p>
      <w:r>
        <w:rPr>
          <w:b/>
        </w:rPr>
        <w:t>E. 2.1</w:t>
      </w:r>
    </w:p>
    <w:p>
      <w:r>
        <w:t>Est réputée accident toute atteinte dommageable, soudaine et involontaire, portée au corps humain par une cause extérieure extraordinaire qui compromet la santé physique, mentale ou psychique ou qui entraîne la mort (art. 4 LPGA). Si la présente loi n’en dispose pas autrement, les prestations d’assurance sont allouées en cas d’accident professionnel, d’accident non professionnel et de maladie professionnelle (art. 6 al. 1 LAA). Les prestations pour soins, les remboursements de frais ainsi que les indemnités journalières et les allocations pour impotent ne sont pas réduits lorsque l’atteinte à la santé n’est que partiellement imputable à l’accident (art. 36 al. 1 LAA). La décision entreprise expose déjà les développements jurisprudentiels relatifs au lien de causalité naturelle entre un événement accidentel et des troubles physiques subséquents, lequel doit être établi au degré probatoire de la vraisemblance prépondérante applicable dans le domaine des assurances sociales (ATF 129 V 177 consid. 3.1 et 402 consid. 4.3.1, ATF 119 V 335 consid. 1 et 115 V 403 consid. 3) qui n’est pas atteint par le biais du raisonnement « post hoc ergo propter hoc » (ATF 119 V 335 consid. 2b/bb, RAMA 1999 no U 341 p. 407 consid. 3b, arrêts du Tribunal fédéral 8C_135/2011 du 21 septembre 2011 consid. 3.2, 8C_406/2009 du 9 avril 2010 consid. 3.2.3 et 8C_6/2009 du 30 juillet 2009 consid. 3). Pour rappel, un tel lien de causalité</w:t>
      </w:r>
    </w:p>
    <w:p>
      <w:r>
        <w:t>- 8 - naturelle existe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 personne assurée, c'est-à-dire qu'il se présente comme la condition sine qua non de celle-ci. En outre, de l’article 36 alinéa 1 LAA, dont la décision entreprise ne dit mot, a été développée la jurisprudence constante en matière de statu quo ante/sine.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(RAMA 1994 no U 206 p. 326 consid. 3b, 1992 no U 142 p. 75).</w:t>
      </w:r>
    </w:p>
    <w:p>
      <w:r>
        <w:rPr>
          <w:b/>
        </w:rPr>
        <w:t>E. 2.2</w:t>
      </w:r>
    </w:p>
    <w:p>
      <w:r>
        <w:t>Selon l’article 43 alinéa 1 LPGA, l’assureur examine les demandes, prend d’office les mesures d’instruction nécessaires et recueille les renseignements dont il a besoin. Les renseignements donnés oralement doivent être consignés par écrit. A teneur de l’article 44 LPGA, dans sa teneur depuis le 1er janvier 2022 (cf. annexe ch. 1 de la loi fédérale du 19 juin 2020 [Développement continu de l’AI ; RO 2021 705 ; FF 2017 2363]), si l’assureur juge une expertise nécessaire dans le cadre de mesures d’instruction médicale, il en fixe le type selon les exigences requises ; trois types sont possibles : expertise monodisciplinaire (art. 44 al. 1 let. a LPGA) ; expertise bidisciplinaire (art. 44 al. 1 let. b LPGA) ; expertise pluridisciplinaire (art. 44 al. 1 let. c LPGA). Si l’assureur doit recourir aux services d’un ou de plusieurs experts indépendants pour élucider les faits dans le cadre d’une expertise, il communique leur nom aux parties. Les parties peuvent récuser les experts pour les motifs indiqués à l’article 36 alinéa 1 et présenter des contre- propositions dans un délai de dix jours (art. 44 al. 2 LPGA). Lorsqu’il communique le nom des experts, l’assureur soumet aussi aux parties les questions qu’il entend poser aux experts et leur signale qu’elles ont la possibilité de remettre par écrit des questions supplémentaires dans le même délai. L’assureur décide en dernier ressort des questions qui sont posées aux experts (art. 44 al. 3 LPGA). Dans sa teneur jusqu’au 31 décembre 2021, l’article 44 LPGA prévoyait ce qui suit : « Si l’assureur doit recourir aux services d’un expert indépendant pour élucider les faits, il donne connaissance du nom de celui-</w:t>
      </w:r>
    </w:p>
    <w:p>
      <w:r>
        <w:t>- 9 - ci aux parties. Celles-ci peuvent récuser l’expert pour des raisons pertinentes et présenter des contre-propositions ». Dans la décision sur opposition du 25 mai 2022, Allianz a repris les exigences jurisprudentielles posées pour la valeur probante d’un rapport médical au considérant 3a de l’arrêt de principe paru aux ATF 125 V 351. Cette assurance a explicité également la notion d’appréciation anticipée des preuves (ATF 145 I 167 consid. 4.1 et arrêts du Tribunal fédéral 8C_172/2012 du 14 mars 2013 consid. 3 et les références, 9C_962/2010 du 1er septembre 2011 consid. 4.1 et 9C_966/2010 du 29 avril 2011 consid. 2.2). Il peut être fait référence aux développements correspondants. Il convient toutefois de rappeler les passages topiques d’un autre arrêt de principe paru aux ATF 135 V 465 concernant l’appréciation des preuves : « Même si la jurisprudence a toujours reconnu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 (…). « Le tribunal devrait accorder entière valeur probante à cette dernière catégorie d'expertise émanant de spécialistes externes, pour autant qu'elle remplisse les exigences jurisprudentielles et qu'il n'existe pas d'indice concret à l'encontre de sa fiabilité » (…). «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 (consid. 4.4) (…). «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très rarement les conditions matérielles posées à une expertise par l'ATF 125 V 351 consid. 3a. Pour ces motifs et compte tenu du fait d'expérience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 (consid. 4.5) (…). « Cependant, afin que la personne assurée dispose d’une chance raisonnable de soumettre son cas au tribunal sans être manifestement désavantagée vis-à-vis de l’assureur et s’il subsiste un doute tel que mentionné plus haut, il ne peut être procédé à une appréciation concluante sur la base, d’une part, des rapports produits par la personne assurée et, d’autre part, de ceux émanant des médecins internes à</w:t>
      </w:r>
    </w:p>
    <w:p>
      <w:r>
        <w:t>- 10 - l’assurance. Pour écarter ce doute, il incombera alors au tribunal d’ordonner une expertise judiciaire ou de renvoyer l’affaire à l’assureur en vue de la mise en œuvre d’une expertise selon la procédure prévue par l’article 44 LPGA » (consid. 4.6).</w:t>
      </w:r>
    </w:p>
    <w:p>
      <w:r>
        <w:rPr>
          <w:b/>
        </w:rPr>
        <w:t>E. 2.3</w:t>
      </w:r>
    </w:p>
    <w:p>
      <w:r>
        <w:t>Aux termes de l’article 6 alinéa 1 et de l’article 36 alinéa 1 LAA ainsi que de la jurisprudence relative à ces deux dispositions, les prestations d’assurance-accidents pour soins doivent être pleinement allouées même si l’accident n’est pas la cause unique de l’atteinte à la santé mais que, associé éventuellement à d’autres facteurs, il a provoqué l’atteinte à la santé ou aggravé un état maladif préexistant. Dans son courriel du 26 février 2020, Allianz a souligné à juste titre qu’elle n’avait pas remis en cause la survenance de l’événement accidentel. Or, selon la déclaration d’accident LAA complétée le 18 septembre 2019 par l’employeur de l’assurée, en date du 7 septembre précédent, celle-ci était en train de manipuler des cartons en hauteur dans son garage lorsque l’un d’eux lui était tombé sur le visage, provoquant des douleurs, des hématomes et une dent cassée. Sous la rubrique « blessure », les indications suivantes figuraient dans cette déclaration : « partie du corps : dents, côté droit ; type de lésion : dent cassée ». Les premiers soins avaient été prodigués par la Dresse B _________, médecin-dentiste. Lors de l’échange de communications électroniques du 4 mars 2020 entre les parties, Allianz a indiqué que la Dresse B _________ s’était contentée de lui envoyer un devis ainsi que des factures et des radiographies, qui avaient été vus par le dentiste-conseil de l’assurance, mais que celle- ci n’avait pas reçu d’autres documents ou lettres de la médecin-dentiste traitante. Cette affirmation n’est pas exacte. Comme l’assurée l’a écrit à Allianz en dates des 3 et 4 mars 2020, sa médecin-dentiste avait déjà communiqué à l’assurance tous les éléments relatifs à l’accident ayant provoqué la cassure de la dent en question. Le 2 juin 2020, la Dresse B _________ a elle-même rappelé à Allianz qu’elle avait complété et adressé à celle-ci, le 14 octobre 2019, un questionnaire concernant les lésions dentaires LAA, lequel comportait toutes les informations nécessaires à une prise de position par le dentiste-conseil de l’assurance. D’après les renseignements figurant dans ce document, la patiente avait reçu un carton lourd sur le visage. La première consultation avait eu lieu le 12 septembre 2019. Les dommages dus à l’accident correspondaient à une fracture de couronne sans lésion de la pulpe sur la dent 16, qui était cariée ou réparée, et à une enflure de la joue. Les mesures immédiates avaient consisté en une radiographie, d’ailleurs imprimée sur papier et jointe au questionnaire précité, et une extraction de la dent 16. A sa lettre du 21 février 2020, l’assurée a annexé une note d’honoraires d’un total de 116 fr. 60, établie le 20 janvier 2020 par la Dresse B _________ concernant les</w:t>
      </w:r>
    </w:p>
    <w:p>
      <w:r>
        <w:t>- 11 - soins prodigués le 12 septembre 2019, laquelle comportaient les postes suivants : « diagnostic du patient en urgence ; radiographie dentaire/occlusale ; anesthésie par infiltration ; extraction de dent à une racine ». Dans la décision entreprise, Allianz a relevé que dans son rapport du 2 juin 2020, la Dresse B _________ n’avait pas établi au degré de la vraisemblance prépondérante requis en matière d’assurances sociales, ni même évoqué, une relation de causalité naturelle entre l’accident du 7 septembre 2019 et la fracture de la dent 16. Ce document daté du 2 juin 2020 n’est pas un rapport de cette médecin-dentiste mais un simple courrier de transmission d’un CD avec deux radiographies de la dent 16 de sa patiente, en réponse à la demande correspondante de l’assurance du 28 mai précédent. En revanche, dans le questionnaire concernant les lésions dentaires LAA spécialement conçu par Allianz, sous la rubrique consacrée aux dommages dus à l’accident, la médecin-dentiste traitante a expressément rapporté une fracture de couronne sans lésion de la pulpe sur la dent 16, qui était cariée ou réparée, ainsi qu’une enflure de la joue. Compte tenu de cette information claire, les exigences formulées par Allianz, dans ses courriels des 26 février et 4 mars 2020, au sujet de l’envoi d’un rapport de la Dresse B _________ précisant que la fracture de la dent était bien la conséquence de l’accident ou d’une prise de position de cette praticienne sur l’avis du dentiste-conseil apparaissent excessives, voire superflues. Dans sa correspondance du 7 janvier 2020 puis ses décisions des 24 août 2020 et 25 mai 2022, Allianz a nié son obligation de servir des prestations, en se fondant sur l’avis de son médecin-dentiste-conseil. D’après celui-ci, un lien de causalité naturelle entre l’accident du 7 septembre 2019 et la lésion sur la dent 16 ne pouvait être établi au degré de la vraisemblance prépondérante. L’état antérieur de cette dent était la seule cause de sa fracture. Si tel était toutefois le cas, se pose la question de savoir pourquoi cette fracture ne s’est pas produite avant l’accident du 7 septembre 2019. Dans sa prise de position adressée le 22 juillet 2020 à l’assurance, ce dentiste a relevé ce qui suit. Une réparation importante et un déchaussement marqué étaient visibles sur la radiographie de la dent 16. La résistance de la dent était ainsi fortement diminuée. La chute d’un carton sur la joue ne pouvait provoquer une telle fracture de la première molaire supérieure, sauf si celle-ci était déjà fissurée. Dans les explications qui suivaient, le Dr C _________ a semblé retenir qu’il y avait des fissures sur cette dent avant l’accident du 7 septembre 2019. Il a en tout cas indiqué que le pronostic de la dent en question était déjà réservé avant l’événement accidentel. A suivre son raisonnement, les circonstances de l’accident du 7 septembre 2019 étaient donc bien de nature à entraîner une cassure de la dent 16, déjà fragilisée. Or, tel qu’il a été exposé ci-dessus concernant l’article 6 alinéa 1 et l’article 36 alinéa 1 LAA, l’origine accidentelle même partielle d’une</w:t>
      </w:r>
    </w:p>
    <w:p>
      <w:r>
        <w:t>- 12 - atteinte à la santé suffit à justifier la prise en charge pleine et entière, par l’assureur- accidents, des frais de traitement de l’atteinte en question. Les conclusions émises le 22 juillet 2020 par le dentiste-conseil de l’assurance, selon lesquelles il n’y avait pas de lien de causalité naturelle avec l’accident et une prise en charge par l’assurance ne pouvait être envisagée, ne sont donc pas conformes à ces dispositions légales et à la jurisprudence y relative. Apparaissent plus cohérents les arguments invoqués par l’assurée elle-même, dans sa lettre du 21 février 2020 et son opposition du 14 septembre suivant. Aux termes de ceux-ci, il y avait un rapport de causalité naturelle entre l’accident et le dommage survenu. Ce malheureux événement était l’unique cause de la lésion. L’état de la dent n’entrait pas en ligne de compte. L’assurée aurait pu la garder longtemps s’il n’y avait pas eu ce choc. Il semble en effet que si celle-ci n’avait pas reçu un carton sur le visage le 7 septembre 2019, elle n’aurait pas consulté en urgence sa médecin-dentiste le 12 septembre suivant, laquelle a alors constaté une enflure de la joue et une fracture de la dent 16, effectué une radiographie de cette dent puis procédé à son extraction.</w:t>
      </w:r>
    </w:p>
    <w:p>
      <w:r>
        <w:rPr>
          <w:b/>
        </w:rPr>
        <w:t>E. 2.4</w:t>
      </w:r>
    </w:p>
    <w:p>
      <w:r>
        <w:t>Au vu de ce qui précède, même en présence d’un état maladif préexistant sur la dentition de la recourante, d’ailleurs décrit par la Dresse B _________ dans le questionnaire complété le 14 octobre 2019 et encore précisé dans le courrier du</w:t>
      </w:r>
    </w:p>
    <w:p>
      <w:r>
        <w:rPr>
          <w:b/>
        </w:rPr>
        <w:t>E. 5</w:t>
      </w:r>
    </w:p>
    <w:p>
      <w:r>
        <w:t>décembre 2022, les réponses alors données par cette médecin-dentiste, associées aux indications figurant sur la déclaration d’accident du 18 septembre 2019 et la note d’honoraires du 20 janvier 2020, semblent suffisantes pour établir au degré de la vraisemblance prépondérante un rapport de causalité naturelle, à tout le moins partiel, entre l’accident du 7 septembre 2019 et la fracture de la dent 16. Si la fracture a peut- être été favorisée par l’état antérieur de cette dent, il apparaît que c’est l’événement accidentel en soi qui l’a provoquée. Allianz devrait en conséquence prendre totalement en charge les frais des traitements effectués sur la dent 16 de l’assurée à la suite de l’accident en question. Contrairement à ce que l’assurance a exposé dans la décision querellée, la référence toute théorique au principe « post hoc ergo propter hoc » et à la relation de mandat entre les médecins traitants et leurs patients ne permettait pas de nier purement et simplement un tel rapport de causalité. Les éléments soulignés au paragraphe précédent constituaient au minimum des indices concrets propres à faire douter de la pertinence de l’appréciation rédigée le 22 juillet 2020 par le dentiste-conseil de l’assurance. Il a du reste été retenu plus haut que cette prise de position n’était ni fiable ni fondée. En conséquence, si l’intimée estime que les éléments précités ne sont pas propres à justifier</w:t>
      </w:r>
    </w:p>
    <w:p>
      <w:r>
        <w:t>- 13 - l’admission d’un lien de causalité naturelle au moins partiel entre l’accident et l’atteinte à la santé, il lui appartient alors, compte tenu de son obligation d’instruction d’office prévue à l’article 43 alinéa 1 LPGA, de soumettre le dossier de l’assurée à un(e) médecin-dentiste indépendant(e), dans le respect de la procédure décrite à l’article 44 LPGA, afin d’éclaircir la question de la causalité naturelle entre l’événement accidentel datant déjà d’il y a bientôt cinq ans et la fracture de la dent 16 de l’assurée. 3. 3.1 Partant, le recours est admis et la décision sur opposition prononcée le 25 mai 2022 par Allianz est annulée. Le dossier est renvoyé à celle-ci afin qu’elle procède conformément au considérant 2.4. 3.2 En application de l’article 61 lettre fbis LPGA, en vigueur depuis le 1er janvier 2021, et compte tenu du fait que la LAA n’en prévoit pas, il n’est pas perçu de frais judiciaires dans le présent litige portant sur des prestations de l’assurance-accidents.</w:t>
      </w:r>
    </w:p>
    <w:p>
      <w:r>
        <w:t>Prononce</w:t>
      </w:r>
    </w:p>
    <w:p>
      <w:r>
        <w:t>1. Le recours est admis et la décision sur opposition d’Allianz Suisse Société d'Assurances SA du 25 mai 2022 est annulée. 2. Le dossier est renvoyé à Allianz Suisse Société d'Assurances SA afin que cette assurance procède conformément au considérant 2.4 du présent jugement. 3. Il n'est pas perçu de frais.</w:t>
      </w:r>
    </w:p>
    <w:p>
      <w:r>
        <w:t>Sion, le 20 août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